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572E" w:color="auto" w:val="clear"/>
            <w:tcMar>
              <w:top w:type="dxa" w:w="300"/>
              <w:left w:type="dxa" w:w="240"/>
              <w:bottom w:type="dxa" w:w="300"/>
              <w:right w:type="dxa" w:w="240"/>
            </w:tcMar>
          </w:tcPr>
          <w:p>
            <w:pPr>
              <w:pStyle w:val="Heading1"/>
              <w:spacing w:after="0"/>
            </w:pPr>
            <w:r>
              <w:rPr>
                <w:rFonts w:ascii="Arial" w:cs="Arial" w:eastAsia="Arial" w:hAnsi="Arial"/>
                <w:b/>
                <w:bCs/>
                <w:color w:val="111827"/>
                <w:sz w:val="60"/>
                <w:szCs w:val="60"/>
              </w:rPr>
              <w:t xml:space="preserve">[Add title]</w:t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Who we are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who we are]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What we do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what we do]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Who it is for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who it is for]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11827"/>
                <w:sz w:val="26"/>
                <w:szCs w:val="26"/>
              </w:rPr>
              <w:t xml:space="preserve">Contact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contact]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